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Convention Report for Hunger Ministries</w:t>
        <w:br w:type="textWrapping"/>
        <w:t xml:space="preserve">Christ Episcopal Church, Cape Girardeau</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year brought significant growth and transformation for our Hunger Ministries, as we expanded both our reach and our sense of mission.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Key Developments: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Adjusted pantry days from Monday and Thursday to Sunday and Thursday</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Relocated the pantry (and church offices) from Fountain House, 38 N. Fountain, to the church at 101 N. Fountain</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Added holiday meals for Thanksgiving and Easter, modeled after our annual Christmas dinner</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Began serving coffee and food during pantry to foster fellowship and care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Our move to a Sunday pantry began on Labor Day weekend 2024, when no volunteers were available for Monday’s shift, and we decided to have a pantry on Sunday. The response was overwhelming. Guests were waiting down the steps before we arrived! We decided to have first Sunday pantries for the rest of the year and discovered that Sunday access reached new households who could not come during the work week. Tracking on Mondays and Sundays confirmed this, so in December, we voted to establish our new 2025 schedule: Sundays 12–1 PM and Thursdays 10–11:30 AM.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After our 2025 annual church meeting, financial concerns led us to relocate the pantry and church offices to the church building so Fountain House could be rented. We held our final pantry there on March 6, concluding with a prayer service of thanksgiving, and had our first pantry at the church just three days later, on Sunday, March 9.</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introduced special Thanksgiving and Easter meals and family boxes, building on the tradition of our Christmas dinner. Through the generosity of our church family, at Thanksgiving, we provided boxes with everything needed to prepare home-cooked turkey dinners for 14 households as well as 40 take-out meals for those who could not cook. At Easter, we offered boxes to prepare ham dinners complete with chocolate bunnies, as well as carry-outs for those who could not cook, and a joyful shared buffet with parishioners and neighbors at the church. Our Christmas dinner again brought together 52 guests in person and 21 take-out meals, with live music, small gifts, and a spirit of celebration. These gatherings share nourishment, joy, and connection.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Inspired by the Bishop’s challenge to feed souls as well as bellies, we began offering coffee and donuts during the warmer months and spaghetti our soup during the colder months, during pantry hours. This simple gesture offers a moment of warmth and community alongside food assistance. On Thursdays, we have had several neighbors who enjoy sitting in the narthex with us and taking over coffee before they leave with their box for the week.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Since relocating, we have seen steady growth. In March 2025, we served 43 households (121 individuals); by September 2025, that number rose to 67 households (237 individuals). In October, with the anticipation of losing SNAP funding, we served 87 households (248 individuals).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 serve in Hunger Ministries at Christ Episcopal Church is to live out the mission of the Red Door Jubilee. We feed body and spirit, extending Christ’s hospitality to all our neighbors in Cape Girardeau.</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